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6BA7B333" w14:textId="3A2DB2B2" w:rsidR="00774A7C" w:rsidRDefault="00774A7C" w:rsidP="00973ED4">
      <w:hyperlink r:id="rId4" w:history="1">
        <w:r w:rsidRPr="009260A2">
          <w:rPr>
            <w:rStyle w:val="Collegamentoipertestuale"/>
          </w:rPr>
          <w:t>https://www.bluerating.com/mercati/773192/assiom-forex-ecco-quando-e-dove-si-svolgera-il-29-congresso</w:t>
        </w:r>
      </w:hyperlink>
    </w:p>
    <w:p w14:paraId="2CE9A96B" w14:textId="4053D88F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2280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37BF"/>
    <w:rsid w:val="00264765"/>
    <w:rsid w:val="00270892"/>
    <w:rsid w:val="00272E04"/>
    <w:rsid w:val="002905A8"/>
    <w:rsid w:val="00290B3F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74A7C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AFD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54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71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15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7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73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48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uerating.com/mercati/773192/assiom-forex-ecco-quando-e-dove-si-svolgera-il-29-congre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2022-12-14T12:59:00Z</dcterms:created>
  <dcterms:modified xsi:type="dcterms:W3CDTF">2022-12-14T12:59:00Z</dcterms:modified>
</cp:coreProperties>
</file>